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CDCD0" w14:textId="058DFA22" w:rsidR="000E4116" w:rsidRDefault="000E4116" w:rsidP="000E4116">
      <w:pPr>
        <w:pStyle w:val="Default"/>
      </w:pPr>
      <w:r>
        <w:t xml:space="preserve"> </w:t>
      </w:r>
    </w:p>
    <w:p w14:paraId="4DE72FB3" w14:textId="5EDB433D" w:rsidR="000E4116" w:rsidRPr="004124F3" w:rsidRDefault="004745C5" w:rsidP="0030361F">
      <w:pPr>
        <w:pStyle w:val="Default"/>
        <w:jc w:val="center"/>
        <w:rPr>
          <w:b/>
          <w:color w:val="0070C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0070C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Modern </w:t>
      </w:r>
      <w:r w:rsidR="00425594">
        <w:rPr>
          <w:b/>
          <w:color w:val="0070C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High Risk Vehicle Traffic Stops</w:t>
      </w:r>
    </w:p>
    <w:p w14:paraId="5484811C" w14:textId="0914364F" w:rsidR="0030361F" w:rsidRDefault="0030361F" w:rsidP="00166229">
      <w:pPr>
        <w:autoSpaceDE w:val="0"/>
        <w:autoSpaceDN w:val="0"/>
        <w:adjustRightInd w:val="0"/>
        <w:rPr>
          <w:rFonts w:cs="Calibri"/>
          <w:b/>
          <w:bCs/>
          <w:color w:val="000000"/>
          <w:sz w:val="36"/>
          <w:szCs w:val="36"/>
        </w:rPr>
      </w:pPr>
    </w:p>
    <w:p w14:paraId="69BD077E" w14:textId="43B35847" w:rsidR="00CB543E" w:rsidRPr="001B5C9E" w:rsidRDefault="00901E80" w:rsidP="00CB543E">
      <w:pPr>
        <w:autoSpaceDE w:val="0"/>
        <w:autoSpaceDN w:val="0"/>
        <w:adjustRightInd w:val="0"/>
        <w:jc w:val="center"/>
        <w:rPr>
          <w:rFonts w:cs="Calibri"/>
          <w:color w:val="000000"/>
          <w:sz w:val="40"/>
          <w:szCs w:val="40"/>
        </w:rPr>
      </w:pPr>
      <w:r>
        <w:rPr>
          <w:rFonts w:cs="Calibri"/>
          <w:b/>
          <w:bCs/>
          <w:color w:val="000000"/>
          <w:sz w:val="40"/>
          <w:szCs w:val="40"/>
        </w:rPr>
        <w:t>May 27</w:t>
      </w:r>
      <w:r w:rsidR="004124F3" w:rsidRPr="001B5C9E">
        <w:rPr>
          <w:rFonts w:cs="Calibri"/>
          <w:b/>
          <w:bCs/>
          <w:color w:val="000000"/>
          <w:sz w:val="40"/>
          <w:szCs w:val="40"/>
        </w:rPr>
        <w:t>, 202</w:t>
      </w:r>
      <w:r>
        <w:rPr>
          <w:rFonts w:cs="Calibri"/>
          <w:b/>
          <w:bCs/>
          <w:color w:val="000000"/>
          <w:sz w:val="40"/>
          <w:szCs w:val="40"/>
        </w:rPr>
        <w:t>5</w:t>
      </w:r>
    </w:p>
    <w:p w14:paraId="13D54C63" w14:textId="5FB4FCF9" w:rsidR="00CB543E" w:rsidRPr="00CB543E" w:rsidRDefault="00CB543E" w:rsidP="00CB543E">
      <w:pPr>
        <w:autoSpaceDE w:val="0"/>
        <w:autoSpaceDN w:val="0"/>
        <w:adjustRightInd w:val="0"/>
        <w:jc w:val="center"/>
        <w:rPr>
          <w:rFonts w:cs="Calibri"/>
          <w:color w:val="000000"/>
          <w:sz w:val="28"/>
          <w:szCs w:val="28"/>
        </w:rPr>
      </w:pPr>
      <w:r w:rsidRPr="00CB543E">
        <w:rPr>
          <w:rFonts w:cs="Calibri"/>
          <w:b/>
          <w:bCs/>
          <w:color w:val="000000"/>
          <w:sz w:val="28"/>
          <w:szCs w:val="28"/>
        </w:rPr>
        <w:t>8:00 a.m. – 4:00 p.m.</w:t>
      </w:r>
    </w:p>
    <w:p w14:paraId="0F6240E6" w14:textId="77777777" w:rsidR="001B5C9E" w:rsidRDefault="001B5C9E" w:rsidP="001B5C9E">
      <w:pPr>
        <w:jc w:val="center"/>
        <w:rPr>
          <w:b/>
          <w:bCs/>
          <w:color w:val="244061" w:themeColor="accent1" w:themeShade="80"/>
          <w:sz w:val="36"/>
          <w:szCs w:val="36"/>
        </w:rPr>
      </w:pPr>
    </w:p>
    <w:p w14:paraId="52513299" w14:textId="42A651EF" w:rsidR="00425594" w:rsidRDefault="00901E80" w:rsidP="009C2A78">
      <w:pPr>
        <w:contextualSpacing/>
        <w:jc w:val="center"/>
        <w:rPr>
          <w:b/>
          <w:bCs/>
          <w:color w:val="244061" w:themeColor="accent1" w:themeShade="80"/>
          <w:sz w:val="36"/>
          <w:szCs w:val="36"/>
        </w:rPr>
      </w:pPr>
      <w:r>
        <w:rPr>
          <w:b/>
          <w:bCs/>
          <w:color w:val="244061" w:themeColor="accent1" w:themeShade="80"/>
          <w:sz w:val="36"/>
          <w:szCs w:val="36"/>
        </w:rPr>
        <w:t>Athens Village Hall</w:t>
      </w:r>
    </w:p>
    <w:p w14:paraId="4931D485" w14:textId="22A410EF" w:rsidR="00425594" w:rsidRPr="009C2A78" w:rsidRDefault="00901E80" w:rsidP="001B5C9E">
      <w:pPr>
        <w:contextualSpacing/>
        <w:jc w:val="center"/>
        <w:rPr>
          <w:b/>
          <w:bCs/>
          <w:color w:val="244061" w:themeColor="accent1" w:themeShade="80"/>
          <w:sz w:val="32"/>
          <w:szCs w:val="32"/>
        </w:rPr>
      </w:pPr>
      <w:r>
        <w:rPr>
          <w:b/>
          <w:bCs/>
          <w:color w:val="244061" w:themeColor="accent1" w:themeShade="80"/>
          <w:sz w:val="32"/>
          <w:szCs w:val="32"/>
        </w:rPr>
        <w:t xml:space="preserve">210 Dottie </w:t>
      </w:r>
      <w:proofErr w:type="spellStart"/>
      <w:r>
        <w:rPr>
          <w:b/>
          <w:bCs/>
          <w:color w:val="244061" w:themeColor="accent1" w:themeShade="80"/>
          <w:sz w:val="32"/>
          <w:szCs w:val="32"/>
        </w:rPr>
        <w:t>Bednarko</w:t>
      </w:r>
      <w:proofErr w:type="spellEnd"/>
      <w:r>
        <w:rPr>
          <w:b/>
          <w:bCs/>
          <w:color w:val="244061" w:themeColor="accent1" w:themeShade="80"/>
          <w:sz w:val="32"/>
          <w:szCs w:val="32"/>
        </w:rPr>
        <w:t xml:space="preserve"> Dr, </w:t>
      </w:r>
    </w:p>
    <w:p w14:paraId="406FB1C9" w14:textId="4B27C1E1" w:rsidR="009C2A78" w:rsidRPr="009C2A78" w:rsidRDefault="009C2A78" w:rsidP="001B5C9E">
      <w:pPr>
        <w:contextualSpacing/>
        <w:jc w:val="center"/>
        <w:rPr>
          <w:b/>
          <w:bCs/>
          <w:color w:val="244061" w:themeColor="accent1" w:themeShade="80"/>
          <w:sz w:val="32"/>
          <w:szCs w:val="32"/>
        </w:rPr>
      </w:pPr>
      <w:r w:rsidRPr="009C2A78">
        <w:rPr>
          <w:b/>
          <w:bCs/>
          <w:color w:val="244061" w:themeColor="accent1" w:themeShade="80"/>
          <w:sz w:val="32"/>
          <w:szCs w:val="32"/>
        </w:rPr>
        <w:t>A</w:t>
      </w:r>
      <w:r w:rsidR="00901E80">
        <w:rPr>
          <w:b/>
          <w:bCs/>
          <w:color w:val="244061" w:themeColor="accent1" w:themeShade="80"/>
          <w:sz w:val="32"/>
          <w:szCs w:val="32"/>
        </w:rPr>
        <w:t>thens</w:t>
      </w:r>
      <w:r w:rsidRPr="009C2A78">
        <w:rPr>
          <w:b/>
          <w:bCs/>
          <w:color w:val="244061" w:themeColor="accent1" w:themeShade="80"/>
          <w:sz w:val="32"/>
          <w:szCs w:val="32"/>
        </w:rPr>
        <w:t>, IL 62</w:t>
      </w:r>
      <w:r w:rsidR="00901E80">
        <w:rPr>
          <w:b/>
          <w:bCs/>
          <w:color w:val="244061" w:themeColor="accent1" w:themeShade="80"/>
          <w:sz w:val="32"/>
          <w:szCs w:val="32"/>
        </w:rPr>
        <w:t>613</w:t>
      </w:r>
    </w:p>
    <w:p w14:paraId="4655CE42" w14:textId="77777777" w:rsidR="004745C5" w:rsidRDefault="004745C5" w:rsidP="001B5C9E">
      <w:pPr>
        <w:contextualSpacing/>
        <w:jc w:val="center"/>
        <w:rPr>
          <w:b/>
          <w:bCs/>
          <w:i/>
          <w:color w:val="FF0000"/>
        </w:rPr>
      </w:pPr>
    </w:p>
    <w:p w14:paraId="5DD1CCF3" w14:textId="03EDE09B" w:rsidR="004745C5" w:rsidRDefault="00981874" w:rsidP="00981874">
      <w:pPr>
        <w:contextualSpacing/>
        <w:jc w:val="center"/>
        <w:rPr>
          <w:b/>
          <w:bCs/>
          <w:i/>
          <w:color w:val="FF0000"/>
        </w:rPr>
      </w:pPr>
      <w:r>
        <w:rPr>
          <w:b/>
          <w:bCs/>
          <w:i/>
          <w:color w:val="FF0000"/>
        </w:rPr>
        <w:t xml:space="preserve">This </w:t>
      </w:r>
      <w:r w:rsidR="004745C5">
        <w:rPr>
          <w:b/>
          <w:bCs/>
          <w:i/>
          <w:color w:val="FF0000"/>
        </w:rPr>
        <w:t>C</w:t>
      </w:r>
      <w:r>
        <w:rPr>
          <w:b/>
          <w:bCs/>
          <w:i/>
          <w:color w:val="FF0000"/>
        </w:rPr>
        <w:t xml:space="preserve">ourse is ILETSB </w:t>
      </w:r>
      <w:r w:rsidR="004745C5">
        <w:rPr>
          <w:b/>
          <w:bCs/>
          <w:i/>
          <w:color w:val="FF0000"/>
        </w:rPr>
        <w:t>A</w:t>
      </w:r>
      <w:r>
        <w:rPr>
          <w:b/>
          <w:bCs/>
          <w:i/>
          <w:color w:val="FF0000"/>
        </w:rPr>
        <w:t>pprov</w:t>
      </w:r>
      <w:r w:rsidR="0016263B">
        <w:rPr>
          <w:b/>
          <w:bCs/>
          <w:i/>
          <w:color w:val="FF0000"/>
        </w:rPr>
        <w:t>ed</w:t>
      </w:r>
      <w:r>
        <w:rPr>
          <w:b/>
          <w:bCs/>
          <w:i/>
          <w:color w:val="FF0000"/>
        </w:rPr>
        <w:t xml:space="preserve"> and </w:t>
      </w:r>
      <w:r w:rsidR="004745C5">
        <w:rPr>
          <w:b/>
          <w:bCs/>
          <w:i/>
          <w:color w:val="FF0000"/>
        </w:rPr>
        <w:t>C</w:t>
      </w:r>
      <w:r w:rsidR="0030361F">
        <w:rPr>
          <w:b/>
          <w:bCs/>
          <w:i/>
          <w:color w:val="FF0000"/>
        </w:rPr>
        <w:t xml:space="preserve">ertified for the </w:t>
      </w:r>
      <w:r w:rsidR="004745C5">
        <w:rPr>
          <w:b/>
          <w:bCs/>
          <w:i/>
          <w:color w:val="FF0000"/>
        </w:rPr>
        <w:t>F</w:t>
      </w:r>
      <w:r>
        <w:rPr>
          <w:b/>
          <w:bCs/>
          <w:i/>
          <w:color w:val="FF0000"/>
        </w:rPr>
        <w:t xml:space="preserve">ollowing </w:t>
      </w:r>
      <w:r w:rsidR="004745C5">
        <w:rPr>
          <w:b/>
          <w:bCs/>
          <w:i/>
          <w:color w:val="FF0000"/>
        </w:rPr>
        <w:t>M</w:t>
      </w:r>
      <w:r>
        <w:rPr>
          <w:b/>
          <w:bCs/>
          <w:i/>
          <w:color w:val="FF0000"/>
        </w:rPr>
        <w:t>andate</w:t>
      </w:r>
      <w:r w:rsidR="0030361F">
        <w:rPr>
          <w:b/>
          <w:bCs/>
          <w:i/>
          <w:color w:val="FF0000"/>
        </w:rPr>
        <w:t>s</w:t>
      </w:r>
      <w:r>
        <w:rPr>
          <w:b/>
          <w:bCs/>
          <w:i/>
          <w:color w:val="FF0000"/>
        </w:rPr>
        <w:t xml:space="preserve">: </w:t>
      </w:r>
    </w:p>
    <w:p w14:paraId="108ECC1B" w14:textId="77777777" w:rsidR="004745C5" w:rsidRDefault="004745C5" w:rsidP="00981874">
      <w:pPr>
        <w:contextualSpacing/>
        <w:jc w:val="center"/>
        <w:rPr>
          <w:b/>
          <w:bCs/>
          <w:i/>
          <w:color w:val="FF0000"/>
        </w:rPr>
      </w:pPr>
      <w:r>
        <w:rPr>
          <w:b/>
          <w:bCs/>
          <w:i/>
          <w:color w:val="FF0000"/>
        </w:rPr>
        <w:t>Const Use of L.E. Authority (0.50hrs+0.50scenarios), De-escalation Techniques (0.50hrs+0.50scenarios),</w:t>
      </w:r>
    </w:p>
    <w:p w14:paraId="0B80E55F" w14:textId="77777777" w:rsidR="004745C5" w:rsidRDefault="004745C5" w:rsidP="00981874">
      <w:pPr>
        <w:contextualSpacing/>
        <w:jc w:val="center"/>
        <w:rPr>
          <w:b/>
          <w:bCs/>
          <w:i/>
          <w:color w:val="FF0000"/>
        </w:rPr>
      </w:pPr>
      <w:r>
        <w:rPr>
          <w:b/>
          <w:bCs/>
          <w:i/>
          <w:color w:val="FF0000"/>
        </w:rPr>
        <w:t xml:space="preserve"> High-Risk Traffic Stops(6.00hrs+3.50scenarios),</w:t>
      </w:r>
    </w:p>
    <w:p w14:paraId="7E44AC64" w14:textId="77777777" w:rsidR="004745C5" w:rsidRDefault="004745C5" w:rsidP="00981874">
      <w:pPr>
        <w:contextualSpacing/>
        <w:jc w:val="center"/>
        <w:rPr>
          <w:b/>
          <w:bCs/>
          <w:i/>
          <w:color w:val="FF0000"/>
        </w:rPr>
      </w:pPr>
      <w:r>
        <w:rPr>
          <w:b/>
          <w:bCs/>
          <w:i/>
          <w:color w:val="FF0000"/>
        </w:rPr>
        <w:t xml:space="preserve"> Law Concerning Stops, Searches, and the Use of Force (0.50hrs+0.50scenarios), </w:t>
      </w:r>
    </w:p>
    <w:p w14:paraId="71161C02" w14:textId="6AEC173F" w:rsidR="00981874" w:rsidRDefault="004745C5" w:rsidP="00981874">
      <w:pPr>
        <w:contextualSpacing/>
        <w:jc w:val="center"/>
        <w:rPr>
          <w:b/>
          <w:bCs/>
          <w:i/>
          <w:color w:val="FF0000"/>
        </w:rPr>
      </w:pPr>
      <w:r>
        <w:rPr>
          <w:b/>
          <w:bCs/>
          <w:i/>
          <w:color w:val="FF0000"/>
        </w:rPr>
        <w:t>Officer Safety Techniques, Including Cover, Concealment, and Time (0.50hrs+0.50scenarios)</w:t>
      </w:r>
    </w:p>
    <w:p w14:paraId="28EC0665" w14:textId="77777777" w:rsidR="000E4116" w:rsidRDefault="000E4116" w:rsidP="000E4116">
      <w:pPr>
        <w:pStyle w:val="Default"/>
      </w:pPr>
    </w:p>
    <w:p w14:paraId="5E9339EE" w14:textId="245337C5" w:rsidR="004124F3" w:rsidRPr="007F2C48" w:rsidRDefault="00883363" w:rsidP="00425594">
      <w:pPr>
        <w:pStyle w:val="DefaultText"/>
        <w:contextualSpacing/>
        <w:rPr>
          <w:rFonts w:ascii="Calibri" w:hAnsi="Calibri" w:cs="Calibri"/>
        </w:rPr>
      </w:pPr>
      <w:r w:rsidRPr="00D177FE">
        <w:rPr>
          <w:rFonts w:ascii="Calibri" w:hAnsi="Calibri" w:cs="Calibri"/>
          <w:b/>
          <w:bCs/>
          <w:sz w:val="28"/>
          <w:szCs w:val="28"/>
          <w:u w:val="single"/>
        </w:rPr>
        <w:t xml:space="preserve">Course </w:t>
      </w:r>
      <w:r w:rsidR="004124F3" w:rsidRPr="00D177FE">
        <w:rPr>
          <w:rFonts w:ascii="Calibri" w:hAnsi="Calibri" w:cs="Calibri"/>
          <w:b/>
          <w:bCs/>
          <w:sz w:val="28"/>
          <w:szCs w:val="28"/>
          <w:u w:val="single"/>
        </w:rPr>
        <w:t>O</w:t>
      </w:r>
      <w:r w:rsidRPr="00D177FE">
        <w:rPr>
          <w:rFonts w:ascii="Calibri" w:hAnsi="Calibri" w:cs="Calibri"/>
          <w:b/>
          <w:bCs/>
          <w:sz w:val="28"/>
          <w:szCs w:val="28"/>
          <w:u w:val="single"/>
        </w:rPr>
        <w:t>verview</w:t>
      </w:r>
      <w:r w:rsidRPr="007F2C48">
        <w:rPr>
          <w:rFonts w:ascii="Calibri" w:hAnsi="Calibri" w:cs="Calibri"/>
          <w:b/>
          <w:bCs/>
        </w:rPr>
        <w:t xml:space="preserve">: </w:t>
      </w:r>
      <w:r w:rsidR="00425594" w:rsidRPr="007F2C48">
        <w:rPr>
          <w:rFonts w:ascii="Calibri" w:hAnsi="Calibri" w:cs="Calibri"/>
          <w:b/>
          <w:bCs/>
        </w:rPr>
        <w:t xml:space="preserve"> </w:t>
      </w:r>
      <w:r w:rsidR="00425594" w:rsidRPr="007F2C48">
        <w:rPr>
          <w:rFonts w:ascii="Calibri" w:hAnsi="Calibri" w:cs="Calibri"/>
        </w:rPr>
        <w:t xml:space="preserve">This course will introduce emerging tactics on high-risk vehicle stops, previously referred to as felony vehicle stops. Harnessing modern vehicle design, these tactics will enhance officer safety and emphasize the principles of time, distance, and cover to mitigate risk. </w:t>
      </w:r>
    </w:p>
    <w:p w14:paraId="23A86F7E" w14:textId="45132153" w:rsidR="00425594" w:rsidRPr="007F2C48" w:rsidRDefault="00425594" w:rsidP="00425594">
      <w:pPr>
        <w:pStyle w:val="DefaultText"/>
        <w:contextualSpacing/>
        <w:rPr>
          <w:rFonts w:ascii="Calibri" w:hAnsi="Calibri" w:cs="Calibri"/>
        </w:rPr>
      </w:pPr>
      <w:r w:rsidRPr="007F2C48">
        <w:rPr>
          <w:rFonts w:ascii="Calibri" w:hAnsi="Calibri" w:cs="Calibri"/>
        </w:rPr>
        <w:t xml:space="preserve">Students will understand and demonstrate a basic understanding of HRVS tactics and the importance of time, distance, and cover. </w:t>
      </w:r>
    </w:p>
    <w:p w14:paraId="30C2371E" w14:textId="7CA1FD2A" w:rsidR="00425594" w:rsidRPr="007F2C48" w:rsidRDefault="00425594" w:rsidP="00425594">
      <w:pPr>
        <w:pStyle w:val="DefaultText"/>
        <w:contextualSpacing/>
        <w:rPr>
          <w:rFonts w:ascii="Calibri" w:hAnsi="Calibri" w:cs="Calibri"/>
        </w:rPr>
      </w:pPr>
      <w:r w:rsidRPr="007F2C48">
        <w:rPr>
          <w:rFonts w:ascii="Calibri" w:hAnsi="Calibri" w:cs="Calibri"/>
        </w:rPr>
        <w:t xml:space="preserve">The scenario-based culminating training event will give students the opportunity to employ these tactics and foster critical thinking skills to safely resolve a multitude of complex problem sets. Instructors and students will debrief after each scenario to evaluate risk mitigation and available courses of action. </w:t>
      </w:r>
    </w:p>
    <w:p w14:paraId="062F8E1D" w14:textId="77777777" w:rsidR="00425594" w:rsidRPr="007F2C48" w:rsidRDefault="00425594" w:rsidP="00425594">
      <w:pPr>
        <w:pStyle w:val="DefaultText"/>
        <w:contextualSpacing/>
        <w:rPr>
          <w:rFonts w:ascii="Calibri" w:hAnsi="Calibri" w:cs="Calibri"/>
        </w:rPr>
      </w:pPr>
    </w:p>
    <w:p w14:paraId="63F63EF2" w14:textId="53360C63" w:rsidR="00425594" w:rsidRPr="007F2C48" w:rsidRDefault="00425594" w:rsidP="00425594">
      <w:pPr>
        <w:pStyle w:val="DefaultText"/>
        <w:contextualSpacing/>
        <w:rPr>
          <w:rFonts w:ascii="Calibri" w:hAnsi="Calibri" w:cs="Calibri"/>
          <w:b/>
          <w:bCs/>
        </w:rPr>
      </w:pPr>
      <w:r w:rsidRPr="00D177FE">
        <w:rPr>
          <w:rFonts w:ascii="Calibri" w:hAnsi="Calibri" w:cs="Calibri"/>
          <w:b/>
          <w:bCs/>
          <w:sz w:val="28"/>
          <w:szCs w:val="28"/>
          <w:u w:val="single"/>
        </w:rPr>
        <w:t>Course Objectives</w:t>
      </w:r>
      <w:r w:rsidRPr="007F2C48">
        <w:rPr>
          <w:rFonts w:ascii="Calibri" w:hAnsi="Calibri" w:cs="Calibri"/>
          <w:b/>
          <w:bCs/>
        </w:rPr>
        <w:t xml:space="preserve">: </w:t>
      </w:r>
    </w:p>
    <w:p w14:paraId="3FB9586E" w14:textId="2972AF8C" w:rsidR="00425594" w:rsidRPr="007F2C48" w:rsidRDefault="00425594" w:rsidP="00425594">
      <w:pPr>
        <w:pStyle w:val="DefaultText"/>
        <w:numPr>
          <w:ilvl w:val="0"/>
          <w:numId w:val="8"/>
        </w:numPr>
        <w:contextualSpacing/>
        <w:rPr>
          <w:rFonts w:ascii="Calibri" w:hAnsi="Calibri" w:cs="Calibri"/>
          <w:b/>
          <w:bCs/>
        </w:rPr>
      </w:pPr>
      <w:r w:rsidRPr="007F2C48">
        <w:rPr>
          <w:rFonts w:ascii="Calibri" w:hAnsi="Calibri" w:cs="Calibri"/>
        </w:rPr>
        <w:t xml:space="preserve">Discuss the history, evolution, and lessons learned in past high-risk vehicle stop encounters. </w:t>
      </w:r>
    </w:p>
    <w:p w14:paraId="41CF1F38" w14:textId="718B5894" w:rsidR="00425594" w:rsidRPr="007F2C48" w:rsidRDefault="00425594" w:rsidP="00425594">
      <w:pPr>
        <w:pStyle w:val="DefaultText"/>
        <w:numPr>
          <w:ilvl w:val="0"/>
          <w:numId w:val="8"/>
        </w:numPr>
        <w:contextualSpacing/>
        <w:rPr>
          <w:rFonts w:ascii="Calibri" w:hAnsi="Calibri" w:cs="Calibri"/>
          <w:b/>
          <w:bCs/>
        </w:rPr>
      </w:pPr>
      <w:r w:rsidRPr="007F2C48">
        <w:rPr>
          <w:rFonts w:ascii="Calibri" w:hAnsi="Calibri" w:cs="Calibri"/>
        </w:rPr>
        <w:t xml:space="preserve">Define the overall role, responsibility, and strategy of contact and cover. </w:t>
      </w:r>
    </w:p>
    <w:p w14:paraId="5E6C0863" w14:textId="5B7D3131" w:rsidR="00425594" w:rsidRPr="007F2C48" w:rsidRDefault="00425594" w:rsidP="00425594">
      <w:pPr>
        <w:pStyle w:val="DefaultText"/>
        <w:numPr>
          <w:ilvl w:val="0"/>
          <w:numId w:val="8"/>
        </w:numPr>
        <w:contextualSpacing/>
        <w:rPr>
          <w:rFonts w:ascii="Calibri" w:hAnsi="Calibri" w:cs="Calibri"/>
          <w:b/>
          <w:bCs/>
        </w:rPr>
      </w:pPr>
      <w:r w:rsidRPr="007F2C48">
        <w:rPr>
          <w:rFonts w:ascii="Calibri" w:hAnsi="Calibri" w:cs="Calibri"/>
        </w:rPr>
        <w:t>Employ the principles of time</w:t>
      </w:r>
      <w:r w:rsidR="004745C5" w:rsidRPr="007F2C48">
        <w:rPr>
          <w:rFonts w:ascii="Calibri" w:hAnsi="Calibri" w:cs="Calibri"/>
        </w:rPr>
        <w:t xml:space="preserve">, distance, and cover to mitigate risk. </w:t>
      </w:r>
    </w:p>
    <w:p w14:paraId="41B85112" w14:textId="17E3EC11" w:rsidR="004745C5" w:rsidRPr="007F2C48" w:rsidRDefault="004745C5" w:rsidP="00425594">
      <w:pPr>
        <w:pStyle w:val="DefaultText"/>
        <w:numPr>
          <w:ilvl w:val="0"/>
          <w:numId w:val="8"/>
        </w:numPr>
        <w:contextualSpacing/>
        <w:rPr>
          <w:rFonts w:ascii="Calibri" w:hAnsi="Calibri" w:cs="Calibri"/>
          <w:b/>
          <w:bCs/>
        </w:rPr>
      </w:pPr>
      <w:r w:rsidRPr="007F2C48">
        <w:rPr>
          <w:rFonts w:ascii="Calibri" w:hAnsi="Calibri" w:cs="Calibri"/>
        </w:rPr>
        <w:t>Recognize the various dynamics of a modern high-risk vehicle stop.</w:t>
      </w:r>
    </w:p>
    <w:p w14:paraId="5230B9B0" w14:textId="27B15B6C" w:rsidR="004745C5" w:rsidRPr="007F2C48" w:rsidRDefault="004745C5" w:rsidP="00425594">
      <w:pPr>
        <w:pStyle w:val="DefaultText"/>
        <w:numPr>
          <w:ilvl w:val="0"/>
          <w:numId w:val="8"/>
        </w:numPr>
        <w:contextualSpacing/>
        <w:rPr>
          <w:rFonts w:ascii="Calibri" w:hAnsi="Calibri" w:cs="Calibri"/>
          <w:b/>
          <w:bCs/>
        </w:rPr>
      </w:pPr>
      <w:r w:rsidRPr="007F2C48">
        <w:rPr>
          <w:rFonts w:ascii="Calibri" w:hAnsi="Calibri" w:cs="Calibri"/>
        </w:rPr>
        <w:t xml:space="preserve">Demonstrate and employ these principles during scenario-based training. </w:t>
      </w:r>
    </w:p>
    <w:p w14:paraId="50BF56D8" w14:textId="77777777" w:rsidR="001458E6" w:rsidRPr="007F2C48" w:rsidRDefault="001458E6" w:rsidP="0090218B">
      <w:pPr>
        <w:rPr>
          <w:rFonts w:cs="Calibri"/>
          <w:b/>
          <w:u w:val="single"/>
        </w:rPr>
      </w:pPr>
    </w:p>
    <w:p w14:paraId="204BAC8A" w14:textId="77777777" w:rsidR="004745C5" w:rsidRDefault="004745C5" w:rsidP="0090218B">
      <w:pPr>
        <w:rPr>
          <w:rFonts w:asciiTheme="minorHAnsi" w:hAnsiTheme="minorHAnsi"/>
          <w:b/>
          <w:u w:val="single"/>
        </w:rPr>
      </w:pPr>
    </w:p>
    <w:p w14:paraId="5210ABA6" w14:textId="7EC2EB2F" w:rsidR="007F2C48" w:rsidRPr="007F2C48" w:rsidRDefault="007F2C48" w:rsidP="00901E80">
      <w:pPr>
        <w:rPr>
          <w:rFonts w:cs="Calibri"/>
        </w:rPr>
      </w:pPr>
      <w:r w:rsidRPr="00D177FE">
        <w:rPr>
          <w:rFonts w:cs="Calibri"/>
          <w:b/>
          <w:sz w:val="28"/>
          <w:szCs w:val="28"/>
          <w:u w:val="single"/>
        </w:rPr>
        <w:t>Instructor:</w:t>
      </w:r>
      <w:r w:rsidRPr="007F2C48">
        <w:rPr>
          <w:rFonts w:cs="Calibri"/>
          <w:b/>
        </w:rPr>
        <w:t xml:space="preserve"> </w:t>
      </w:r>
      <w:r w:rsidR="00901E80">
        <w:rPr>
          <w:rFonts w:cs="Calibri"/>
        </w:rPr>
        <w:t>MTU 10 Staff</w:t>
      </w:r>
    </w:p>
    <w:p w14:paraId="2615BA39" w14:textId="6495F038" w:rsidR="004745C5" w:rsidRPr="007F2C48" w:rsidRDefault="004745C5" w:rsidP="0090218B">
      <w:pPr>
        <w:rPr>
          <w:rFonts w:cs="Calibri"/>
          <w:b/>
        </w:rPr>
      </w:pPr>
    </w:p>
    <w:p w14:paraId="5CCAB017" w14:textId="77777777" w:rsidR="007F2C48" w:rsidRPr="007F2C48" w:rsidRDefault="004745C5" w:rsidP="007F2C48">
      <w:pPr>
        <w:rPr>
          <w:rFonts w:cs="Calibri"/>
        </w:rPr>
      </w:pPr>
      <w:r w:rsidRPr="004745C5">
        <w:rPr>
          <w:rFonts w:cs="Calibri"/>
          <w:b/>
          <w:sz w:val="28"/>
          <w:szCs w:val="28"/>
        </w:rPr>
        <w:t>Non-Member Tuition</w:t>
      </w:r>
      <w:r w:rsidRPr="004745C5">
        <w:rPr>
          <w:rFonts w:cs="Calibri"/>
        </w:rPr>
        <w:t xml:space="preserve">:  </w:t>
      </w:r>
      <w:r w:rsidR="007F2C48" w:rsidRPr="007F2C48">
        <w:rPr>
          <w:rFonts w:cs="Calibri"/>
          <w:color w:val="000000"/>
        </w:rPr>
        <w:t>$80. Non-Member tuition shall apply to civilians, officers from State/Federal agencies, and officers from Local Law Enforcement agencies which are not a member of any MTU. Tuition will be invoiced to departments upon course completion. If a pre-registered student from a Non-Member agency fails to attend training, and the agency fails to provide advance notice within 7 days of the start date of that class, the agency will be invoiced the entire amount of the student's tuition.</w:t>
      </w:r>
    </w:p>
    <w:p w14:paraId="53081FC8" w14:textId="66D23CF1" w:rsidR="004745C5" w:rsidRPr="004745C5" w:rsidRDefault="004745C5" w:rsidP="004745C5">
      <w:pPr>
        <w:contextualSpacing/>
        <w:rPr>
          <w:rFonts w:cs="Calibri"/>
        </w:rPr>
      </w:pPr>
    </w:p>
    <w:p w14:paraId="2967B4EB" w14:textId="77777777" w:rsidR="004745C5" w:rsidRPr="004745C5" w:rsidRDefault="004745C5" w:rsidP="004745C5">
      <w:pPr>
        <w:rPr>
          <w:rFonts w:cs="Calibri"/>
        </w:rPr>
      </w:pPr>
      <w:r w:rsidRPr="004745C5">
        <w:rPr>
          <w:rFonts w:cs="Calibri"/>
          <w:b/>
          <w:bCs/>
          <w:sz w:val="28"/>
          <w:szCs w:val="28"/>
        </w:rPr>
        <w:t>To Register</w:t>
      </w:r>
      <w:r w:rsidRPr="004745C5">
        <w:rPr>
          <w:rFonts w:cs="Calibri"/>
          <w:b/>
          <w:bCs/>
        </w:rPr>
        <w:t xml:space="preserve">:  </w:t>
      </w:r>
      <w:r w:rsidRPr="004745C5">
        <w:rPr>
          <w:rFonts w:cs="Calibri"/>
        </w:rPr>
        <w:t xml:space="preserve">Email registration to </w:t>
      </w:r>
      <w:hyperlink r:id="rId8" w:history="1">
        <w:r w:rsidRPr="004745C5">
          <w:rPr>
            <w:rFonts w:cs="Calibri"/>
            <w:color w:val="0000FF" w:themeColor="hyperlink"/>
            <w:u w:val="single"/>
          </w:rPr>
          <w:t>register@letac.org</w:t>
        </w:r>
      </w:hyperlink>
      <w:r w:rsidRPr="004745C5">
        <w:rPr>
          <w:rFonts w:cs="Calibri"/>
        </w:rPr>
        <w:t xml:space="preserve">. You may also fill out and submit our online registration form through the website at </w:t>
      </w:r>
      <w:hyperlink r:id="rId9" w:history="1">
        <w:r w:rsidRPr="004745C5">
          <w:rPr>
            <w:rFonts w:cs="Calibri"/>
            <w:color w:val="0000FF" w:themeColor="hyperlink"/>
            <w:u w:val="single"/>
          </w:rPr>
          <w:t>www.letac.org</w:t>
        </w:r>
      </w:hyperlink>
      <w:r w:rsidRPr="004745C5">
        <w:rPr>
          <w:rFonts w:cs="Calibri"/>
        </w:rPr>
        <w:t xml:space="preserve"> or call 217-726-7014 to register by phone (be sure to include all pertinent information).   MTU #10 local member department officers will be given registration preference until seven days prior to the date of class. After that date, registrations will be taken on a first-come, first-served basis, regardless of MTU status. We cannot accept registrations from individual officers. All registrations must go through your Chief, Sheriff, or department training office, even if you are attending class on your own time.   </w:t>
      </w:r>
    </w:p>
    <w:p w14:paraId="0A9462A2" w14:textId="77777777" w:rsidR="004745C5" w:rsidRPr="004745C5" w:rsidRDefault="004745C5" w:rsidP="004745C5">
      <w:pPr>
        <w:rPr>
          <w:rFonts w:cs="Calibri"/>
        </w:rPr>
      </w:pPr>
    </w:p>
    <w:p w14:paraId="79988A5C" w14:textId="77777777" w:rsidR="004745C5" w:rsidRPr="004745C5" w:rsidRDefault="004745C5" w:rsidP="004745C5">
      <w:pPr>
        <w:rPr>
          <w:rFonts w:cs="Calibri"/>
        </w:rPr>
      </w:pPr>
      <w:r w:rsidRPr="004745C5">
        <w:rPr>
          <w:rFonts w:cs="Calibri"/>
          <w:b/>
          <w:bCs/>
          <w:sz w:val="28"/>
          <w:szCs w:val="28"/>
        </w:rPr>
        <w:t>Cancellation:</w:t>
      </w:r>
      <w:r w:rsidRPr="004745C5">
        <w:rPr>
          <w:rFonts w:cs="Calibri"/>
          <w:b/>
          <w:bCs/>
          <w:u w:val="single"/>
        </w:rPr>
        <w:t xml:space="preserve"> </w:t>
      </w:r>
      <w:r w:rsidRPr="004745C5">
        <w:rPr>
          <w:rFonts w:cs="Calibri"/>
          <w:b/>
          <w:bCs/>
        </w:rPr>
        <w:t xml:space="preserve"> </w:t>
      </w:r>
      <w:r w:rsidRPr="004745C5">
        <w:rPr>
          <w:rFonts w:cs="Calibri"/>
        </w:rPr>
        <w:t xml:space="preserve">If a class must be canceled for any reason, every effort will be made to do so at least 2 weeks before the class is scheduled to begin.  However, there are circumstances where last minute cancellation is out of our control.  All officers who have been registered for training will be contacted at the email address given at registration, so please be sure to provide an email address which is checked often. </w:t>
      </w:r>
    </w:p>
    <w:p w14:paraId="528853EA" w14:textId="77777777" w:rsidR="004745C5" w:rsidRPr="003E30D6" w:rsidRDefault="004745C5" w:rsidP="0090218B">
      <w:pPr>
        <w:rPr>
          <w:rFonts w:asciiTheme="minorHAnsi" w:hAnsiTheme="minorHAnsi"/>
          <w:b/>
          <w:u w:val="single"/>
        </w:rPr>
      </w:pPr>
    </w:p>
    <w:sectPr w:rsidR="004745C5" w:rsidRPr="003E30D6" w:rsidSect="005E55DD">
      <w:headerReference w:type="default" r:id="rId10"/>
      <w:footerReference w:type="default" r:id="rId11"/>
      <w:pgSz w:w="12240" w:h="15840" w:code="1"/>
      <w:pgMar w:top="288" w:right="720" w:bottom="288"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A7D2D" w14:textId="77777777" w:rsidR="00CF5018" w:rsidRDefault="00CF5018" w:rsidP="005F017C">
      <w:r>
        <w:separator/>
      </w:r>
    </w:p>
  </w:endnote>
  <w:endnote w:type="continuationSeparator" w:id="0">
    <w:p w14:paraId="79C801D8" w14:textId="77777777" w:rsidR="00CF5018" w:rsidRDefault="00CF5018" w:rsidP="005F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0CBB" w14:textId="77777777" w:rsidR="005E55DD" w:rsidRPr="00B06027" w:rsidRDefault="005E55DD" w:rsidP="00E17C5B">
    <w:pPr>
      <w:pStyle w:val="Header"/>
      <w:jc w:val="center"/>
      <w:rPr>
        <w:b/>
        <w:color w:val="000000"/>
        <w:spacing w:val="26"/>
        <w:kern w:val="50"/>
      </w:rPr>
    </w:pPr>
    <w:r w:rsidRPr="00B06027">
      <w:rPr>
        <w:b/>
        <w:color w:val="000000"/>
        <w:spacing w:val="26"/>
        <w:kern w:val="50"/>
      </w:rPr>
      <w:t>Illinois Law Enforcement Training &amp; Standards Board Mobile Team Unit #10</w:t>
    </w:r>
  </w:p>
  <w:p w14:paraId="4DE64FB4" w14:textId="77777777" w:rsidR="005E55DD" w:rsidRPr="002E3E54" w:rsidRDefault="005E55DD" w:rsidP="002E3E54">
    <w:pPr>
      <w:pStyle w:val="Header"/>
      <w:jc w:val="center"/>
      <w:rPr>
        <w:spacing w:val="20"/>
      </w:rPr>
    </w:pPr>
    <w:r w:rsidRPr="002E3E54">
      <w:rPr>
        <w:color w:val="000000"/>
        <w:spacing w:val="20"/>
        <w:sz w:val="20"/>
      </w:rPr>
      <w:t>Serving the Counties of Christian • Dewitt • Logan • Macon • Mason • Menard • Montgomery • Sangamon</w:t>
    </w:r>
  </w:p>
  <w:p w14:paraId="178C8A34" w14:textId="77777777" w:rsidR="005F017C" w:rsidRDefault="005F017C" w:rsidP="005F017C">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1182" w14:textId="77777777" w:rsidR="00CF5018" w:rsidRDefault="00CF5018" w:rsidP="005F017C">
      <w:r>
        <w:separator/>
      </w:r>
    </w:p>
  </w:footnote>
  <w:footnote w:type="continuationSeparator" w:id="0">
    <w:p w14:paraId="2CFD850F" w14:textId="77777777" w:rsidR="00CF5018" w:rsidRDefault="00CF5018" w:rsidP="005F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361D" w14:textId="77777777" w:rsidR="005E55DD" w:rsidRPr="00557C9F" w:rsidRDefault="005E55DD" w:rsidP="00D631D6">
    <w:pPr>
      <w:pStyle w:val="Header"/>
      <w:ind w:left="2448"/>
      <w:jc w:val="center"/>
      <w:rPr>
        <w:b/>
        <w:sz w:val="36"/>
        <w:szCs w:val="36"/>
        <w14:shadow w14:blurRad="50800" w14:dist="38100" w14:dir="2700000" w14:sx="100000" w14:sy="100000" w14:kx="0" w14:ky="0" w14:algn="tl">
          <w14:srgbClr w14:val="000000">
            <w14:alpha w14:val="60000"/>
          </w14:srgbClr>
        </w14:shadow>
      </w:rPr>
    </w:pPr>
    <w:r w:rsidRPr="00D631D6">
      <w:rPr>
        <w:b/>
        <w:noProof/>
        <w:sz w:val="38"/>
        <w:szCs w:val="38"/>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2A378D80" wp14:editId="303C386D">
          <wp:simplePos x="0" y="0"/>
          <wp:positionH relativeFrom="margin">
            <wp:posOffset>47625</wp:posOffset>
          </wp:positionH>
          <wp:positionV relativeFrom="topMargin">
            <wp:posOffset>249555</wp:posOffset>
          </wp:positionV>
          <wp:extent cx="1348105" cy="1083310"/>
          <wp:effectExtent l="0" t="0" r="4445" b="2540"/>
          <wp:wrapTight wrapText="right">
            <wp:wrapPolygon edited="0">
              <wp:start x="0" y="0"/>
              <wp:lineTo x="0" y="21271"/>
              <wp:lineTo x="21366" y="21271"/>
              <wp:lineTo x="21366" y="0"/>
              <wp:lineTo x="0" y="0"/>
            </wp:wrapPolygon>
          </wp:wrapTight>
          <wp:docPr id="1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AClogo.gif"/>
                  <pic:cNvPicPr/>
                </pic:nvPicPr>
                <pic:blipFill>
                  <a:blip r:embed="rId1">
                    <a:extLst>
                      <a:ext uri="{28A0092B-C50C-407E-A947-70E740481C1C}">
                        <a14:useLocalDpi xmlns:a14="http://schemas.microsoft.com/office/drawing/2010/main" val="0"/>
                      </a:ext>
                    </a:extLst>
                  </a:blip>
                  <a:stretch>
                    <a:fillRect/>
                  </a:stretch>
                </pic:blipFill>
                <pic:spPr>
                  <a:xfrm>
                    <a:off x="0" y="0"/>
                    <a:ext cx="1348105" cy="1083310"/>
                  </a:xfrm>
                  <a:prstGeom prst="rect">
                    <a:avLst/>
                  </a:prstGeom>
                  <a:ln>
                    <a:noFill/>
                  </a:ln>
                  <a:effectLst/>
                </pic:spPr>
              </pic:pic>
            </a:graphicData>
          </a:graphic>
          <wp14:sizeRelV relativeFrom="margin">
            <wp14:pctHeight>0</wp14:pctHeight>
          </wp14:sizeRelV>
        </wp:anchor>
      </w:drawing>
    </w:r>
    <w:r w:rsidRPr="00D631D6">
      <w:rPr>
        <w:b/>
        <w:sz w:val="38"/>
        <w:szCs w:val="38"/>
        <w14:shadow w14:blurRad="50800" w14:dist="38100" w14:dir="2700000" w14:sx="100000" w14:sy="100000" w14:kx="0" w14:ky="0" w14:algn="tl">
          <w14:srgbClr w14:val="000000">
            <w14:alpha w14:val="60000"/>
          </w14:srgbClr>
        </w14:shadow>
      </w:rPr>
      <w:t>Law</w:t>
    </w:r>
    <w:r w:rsidRPr="00557C9F">
      <w:rPr>
        <w:b/>
        <w:sz w:val="36"/>
        <w:szCs w:val="36"/>
        <w14:shadow w14:blurRad="50800" w14:dist="38100" w14:dir="2700000" w14:sx="100000" w14:sy="100000" w14:kx="0" w14:ky="0" w14:algn="tl">
          <w14:srgbClr w14:val="000000">
            <w14:alpha w14:val="60000"/>
          </w14:srgbClr>
        </w14:shadow>
      </w:rPr>
      <w:t xml:space="preserve"> </w:t>
    </w:r>
    <w:r w:rsidRPr="00D631D6">
      <w:rPr>
        <w:b/>
        <w:sz w:val="38"/>
        <w:szCs w:val="38"/>
        <w14:shadow w14:blurRad="50800" w14:dist="38100" w14:dir="2700000" w14:sx="100000" w14:sy="100000" w14:kx="0" w14:ky="0" w14:algn="tl">
          <w14:srgbClr w14:val="000000">
            <w14:alpha w14:val="60000"/>
          </w14:srgbClr>
        </w14:shadow>
      </w:rPr>
      <w:t>Enforcement Training Advisory Commission</w:t>
    </w:r>
  </w:p>
  <w:p w14:paraId="04F8C7B0" w14:textId="77777777" w:rsidR="005E55DD" w:rsidRPr="00D631D6" w:rsidRDefault="005E55DD" w:rsidP="00D631D6">
    <w:pPr>
      <w:pStyle w:val="Header"/>
      <w:ind w:left="2448"/>
      <w:jc w:val="center"/>
      <w:rPr>
        <w:sz w:val="28"/>
        <w14:shadow w14:blurRad="50800" w14:dist="38100" w14:dir="2700000" w14:sx="100000" w14:sy="100000" w14:kx="0" w14:ky="0" w14:algn="tl">
          <w14:srgbClr w14:val="000000">
            <w14:alpha w14:val="60000"/>
          </w14:srgbClr>
        </w14:shadow>
      </w:rPr>
    </w:pPr>
    <w:r>
      <w:rPr>
        <w:sz w:val="28"/>
        <w14:shadow w14:blurRad="50800" w14:dist="38100" w14:dir="2700000" w14:sx="100000" w14:sy="100000" w14:kx="0" w14:ky="0" w14:algn="tl">
          <w14:srgbClr w14:val="000000">
            <w14:alpha w14:val="60000"/>
          </w14:srgbClr>
        </w14:shadow>
      </w:rPr>
      <w:t>840 S. Spring Street</w:t>
    </w:r>
    <w:r w:rsidRPr="00D631D6">
      <w:rPr>
        <w:sz w:val="28"/>
        <w14:shadow w14:blurRad="50800" w14:dist="38100" w14:dir="2700000" w14:sx="100000" w14:sy="100000" w14:kx="0" w14:ky="0" w14:algn="tl">
          <w14:srgbClr w14:val="000000">
            <w14:alpha w14:val="60000"/>
          </w14:srgbClr>
        </w14:shadow>
      </w:rPr>
      <w:t>, Suite B • Springfield, IL  627</w:t>
    </w:r>
    <w:r>
      <w:rPr>
        <w:sz w:val="28"/>
        <w14:shadow w14:blurRad="50800" w14:dist="38100" w14:dir="2700000" w14:sx="100000" w14:sy="100000" w14:kx="0" w14:ky="0" w14:algn="tl">
          <w14:srgbClr w14:val="000000">
            <w14:alpha w14:val="60000"/>
          </w14:srgbClr>
        </w14:shadow>
      </w:rPr>
      <w:t>04</w:t>
    </w:r>
  </w:p>
  <w:p w14:paraId="5711538C" w14:textId="77777777" w:rsidR="005E55DD" w:rsidRPr="00D631D6" w:rsidRDefault="005E55DD" w:rsidP="00D631D6">
    <w:pPr>
      <w:pStyle w:val="Header"/>
      <w:ind w:left="2448"/>
      <w:jc w:val="center"/>
      <w:rPr>
        <w:sz w:val="20"/>
        <w14:shadow w14:blurRad="50800" w14:dist="38100" w14:dir="2700000" w14:sx="100000" w14:sy="100000" w14:kx="0" w14:ky="0" w14:algn="tl">
          <w14:srgbClr w14:val="000000">
            <w14:alpha w14:val="60000"/>
          </w14:srgbClr>
        </w14:shadow>
      </w:rPr>
    </w:pPr>
    <w:r w:rsidRPr="00D631D6">
      <w:rPr>
        <w:sz w:val="20"/>
        <w14:shadow w14:blurRad="50800" w14:dist="38100" w14:dir="2700000" w14:sx="100000" w14:sy="100000" w14:kx="0" w14:ky="0" w14:algn="tl">
          <w14:srgbClr w14:val="000000">
            <w14:alpha w14:val="60000"/>
          </w14:srgbClr>
        </w14:shadow>
      </w:rPr>
      <w:t xml:space="preserve">Phone (217) 726-7014 • Fax (217) 726-7833 • Email </w:t>
    </w:r>
    <w:hyperlink r:id="rId2" w:history="1">
      <w:r w:rsidRPr="00D631D6">
        <w:rPr>
          <w:rStyle w:val="Hyperlink"/>
          <w:color w:val="0070C0"/>
          <w:sz w:val="20"/>
          <w14:shadow w14:blurRad="50800" w14:dist="38100" w14:dir="2700000" w14:sx="100000" w14:sy="100000" w14:kx="0" w14:ky="0" w14:algn="tl">
            <w14:srgbClr w14:val="000000">
              <w14:alpha w14:val="60000"/>
            </w14:srgbClr>
          </w14:shadow>
        </w:rPr>
        <w:t>letac@mtu10.com</w:t>
      </w:r>
    </w:hyperlink>
    <w:r w:rsidRPr="00D631D6">
      <w:rPr>
        <w:sz w:val="20"/>
        <w14:shadow w14:blurRad="50800" w14:dist="38100" w14:dir="2700000" w14:sx="100000" w14:sy="100000" w14:kx="0" w14:ky="0" w14:algn="tl">
          <w14:srgbClr w14:val="000000">
            <w14:alpha w14:val="60000"/>
          </w14:srgbClr>
        </w14:shadow>
      </w:rPr>
      <w:t xml:space="preserve"> • Website </w:t>
    </w:r>
    <w:hyperlink r:id="rId3" w:history="1">
      <w:r w:rsidRPr="00D631D6">
        <w:rPr>
          <w:rStyle w:val="Hyperlink"/>
          <w:color w:val="0070C0"/>
          <w:sz w:val="20"/>
          <w14:shadow w14:blurRad="50800" w14:dist="38100" w14:dir="2700000" w14:sx="100000" w14:sy="100000" w14:kx="0" w14:ky="0" w14:algn="tl">
            <w14:srgbClr w14:val="000000">
              <w14:alpha w14:val="60000"/>
            </w14:srgbClr>
          </w14:shadow>
        </w:rPr>
        <w:t>www.letac.org</w:t>
      </w:r>
    </w:hyperlink>
  </w:p>
  <w:p w14:paraId="4EBF0CEE" w14:textId="2F63F72C" w:rsidR="005E55DD" w:rsidRPr="00D631D6" w:rsidRDefault="00425594" w:rsidP="00F4637A">
    <w:pPr>
      <w:pStyle w:val="Header"/>
      <w:ind w:left="2448"/>
      <w:jc w:val="center"/>
      <w:rPr>
        <w:sz w:val="32"/>
      </w:rPr>
    </w:pPr>
    <w:r>
      <w:rPr>
        <w:sz w:val="28"/>
        <w14:shadow w14:blurRad="50800" w14:dist="38100" w14:dir="2700000" w14:sx="100000" w14:sy="100000" w14:kx="0" w14:ky="0" w14:algn="tl">
          <w14:srgbClr w14:val="000000">
            <w14:alpha w14:val="60000"/>
          </w14:srgbClr>
        </w14:shadow>
      </w:rPr>
      <w:t>Bruce Liebe</w:t>
    </w:r>
    <w:r w:rsidR="005E55DD" w:rsidRPr="00D631D6">
      <w:rPr>
        <w:sz w:val="28"/>
        <w14:shadow w14:blurRad="50800" w14:dist="38100" w14:dir="2700000" w14:sx="100000" w14:sy="100000" w14:kx="0" w14:ky="0" w14:algn="tl">
          <w14:srgbClr w14:val="000000">
            <w14:alpha w14:val="60000"/>
          </w14:srgbClr>
        </w14:shadow>
      </w:rPr>
      <w:t>, Director</w:t>
    </w:r>
  </w:p>
  <w:p w14:paraId="125FF5F5" w14:textId="77777777" w:rsidR="005F017C" w:rsidRPr="00D736DC" w:rsidRDefault="005F017C" w:rsidP="00D73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5FC1"/>
    <w:multiLevelType w:val="multilevel"/>
    <w:tmpl w:val="7F78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47BF2"/>
    <w:multiLevelType w:val="hybridMultilevel"/>
    <w:tmpl w:val="C59C9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24CFD"/>
    <w:multiLevelType w:val="hybridMultilevel"/>
    <w:tmpl w:val="97FADB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593"/>
    <w:multiLevelType w:val="hybridMultilevel"/>
    <w:tmpl w:val="6AB0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20CEA"/>
    <w:multiLevelType w:val="hybridMultilevel"/>
    <w:tmpl w:val="23806A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6226E0"/>
    <w:multiLevelType w:val="hybridMultilevel"/>
    <w:tmpl w:val="4664E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AC5D3E"/>
    <w:multiLevelType w:val="hybridMultilevel"/>
    <w:tmpl w:val="B88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F0309"/>
    <w:multiLevelType w:val="hybridMultilevel"/>
    <w:tmpl w:val="C0D2C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2984745">
    <w:abstractNumId w:val="0"/>
  </w:num>
  <w:num w:numId="2" w16cid:durableId="146439612">
    <w:abstractNumId w:val="7"/>
  </w:num>
  <w:num w:numId="3" w16cid:durableId="1814785419">
    <w:abstractNumId w:val="1"/>
  </w:num>
  <w:num w:numId="4" w16cid:durableId="811285999">
    <w:abstractNumId w:val="6"/>
  </w:num>
  <w:num w:numId="5" w16cid:durableId="318581740">
    <w:abstractNumId w:val="4"/>
  </w:num>
  <w:num w:numId="6" w16cid:durableId="134568105">
    <w:abstractNumId w:val="5"/>
  </w:num>
  <w:num w:numId="7" w16cid:durableId="2083914038">
    <w:abstractNumId w:val="3"/>
  </w:num>
  <w:num w:numId="8" w16cid:durableId="64732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7C"/>
    <w:rsid w:val="00007355"/>
    <w:rsid w:val="000366B4"/>
    <w:rsid w:val="00052E6F"/>
    <w:rsid w:val="00054AFF"/>
    <w:rsid w:val="000C4882"/>
    <w:rsid w:val="000D1BB7"/>
    <w:rsid w:val="000D5F56"/>
    <w:rsid w:val="000E4116"/>
    <w:rsid w:val="001023DA"/>
    <w:rsid w:val="001458E6"/>
    <w:rsid w:val="0016263B"/>
    <w:rsid w:val="00166229"/>
    <w:rsid w:val="0018048B"/>
    <w:rsid w:val="001B5C9E"/>
    <w:rsid w:val="001E1F32"/>
    <w:rsid w:val="002007F7"/>
    <w:rsid w:val="002C6FAC"/>
    <w:rsid w:val="002E34AE"/>
    <w:rsid w:val="0030361F"/>
    <w:rsid w:val="00306D42"/>
    <w:rsid w:val="003B1466"/>
    <w:rsid w:val="003B5756"/>
    <w:rsid w:val="003C75E6"/>
    <w:rsid w:val="003E30D6"/>
    <w:rsid w:val="004124F3"/>
    <w:rsid w:val="00425594"/>
    <w:rsid w:val="00435CEA"/>
    <w:rsid w:val="00446398"/>
    <w:rsid w:val="00451723"/>
    <w:rsid w:val="004745C5"/>
    <w:rsid w:val="004F57AD"/>
    <w:rsid w:val="0050458D"/>
    <w:rsid w:val="005342D6"/>
    <w:rsid w:val="00596C07"/>
    <w:rsid w:val="005A441E"/>
    <w:rsid w:val="005C5E3A"/>
    <w:rsid w:val="005E55DD"/>
    <w:rsid w:val="005F017C"/>
    <w:rsid w:val="00617AED"/>
    <w:rsid w:val="00633EB5"/>
    <w:rsid w:val="006354C0"/>
    <w:rsid w:val="0068263F"/>
    <w:rsid w:val="006C2623"/>
    <w:rsid w:val="006F03A5"/>
    <w:rsid w:val="00725F1F"/>
    <w:rsid w:val="007920CB"/>
    <w:rsid w:val="007930AB"/>
    <w:rsid w:val="00796204"/>
    <w:rsid w:val="007F2C48"/>
    <w:rsid w:val="008005AF"/>
    <w:rsid w:val="00811FAB"/>
    <w:rsid w:val="0082344F"/>
    <w:rsid w:val="00846665"/>
    <w:rsid w:val="00862254"/>
    <w:rsid w:val="008760AC"/>
    <w:rsid w:val="00883363"/>
    <w:rsid w:val="008B47E2"/>
    <w:rsid w:val="008C59C8"/>
    <w:rsid w:val="008F71EF"/>
    <w:rsid w:val="00901E80"/>
    <w:rsid w:val="0090218B"/>
    <w:rsid w:val="009248BB"/>
    <w:rsid w:val="00940E1D"/>
    <w:rsid w:val="00972B80"/>
    <w:rsid w:val="00981874"/>
    <w:rsid w:val="009C2A78"/>
    <w:rsid w:val="009F696B"/>
    <w:rsid w:val="00A273CC"/>
    <w:rsid w:val="00A32886"/>
    <w:rsid w:val="00A52040"/>
    <w:rsid w:val="00A62021"/>
    <w:rsid w:val="00A76BE1"/>
    <w:rsid w:val="00A835A7"/>
    <w:rsid w:val="00A90327"/>
    <w:rsid w:val="00B258A2"/>
    <w:rsid w:val="00B341DC"/>
    <w:rsid w:val="00B34A08"/>
    <w:rsid w:val="00B4035A"/>
    <w:rsid w:val="00B51088"/>
    <w:rsid w:val="00B55A7E"/>
    <w:rsid w:val="00B6305D"/>
    <w:rsid w:val="00B741F3"/>
    <w:rsid w:val="00B76F43"/>
    <w:rsid w:val="00BC5493"/>
    <w:rsid w:val="00C1743F"/>
    <w:rsid w:val="00C70414"/>
    <w:rsid w:val="00C96C66"/>
    <w:rsid w:val="00CB543E"/>
    <w:rsid w:val="00CD6215"/>
    <w:rsid w:val="00CF5018"/>
    <w:rsid w:val="00D177FE"/>
    <w:rsid w:val="00D264B2"/>
    <w:rsid w:val="00D736DC"/>
    <w:rsid w:val="00D7388E"/>
    <w:rsid w:val="00DD71CB"/>
    <w:rsid w:val="00E06BAC"/>
    <w:rsid w:val="00E21B60"/>
    <w:rsid w:val="00E70558"/>
    <w:rsid w:val="00EA61E0"/>
    <w:rsid w:val="00F309ED"/>
    <w:rsid w:val="00FA6124"/>
    <w:rsid w:val="00FD28D5"/>
    <w:rsid w:val="00FD3936"/>
    <w:rsid w:val="00FE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EDC31"/>
  <w15:docId w15:val="{8DC8F612-B618-4B75-9498-84876FCF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17C"/>
    <w:rPr>
      <w:rFonts w:ascii="Tahoma" w:hAnsi="Tahoma" w:cs="Tahoma"/>
      <w:sz w:val="16"/>
      <w:szCs w:val="16"/>
    </w:rPr>
  </w:style>
  <w:style w:type="character" w:customStyle="1" w:styleId="BalloonTextChar">
    <w:name w:val="Balloon Text Char"/>
    <w:basedOn w:val="DefaultParagraphFont"/>
    <w:link w:val="BalloonText"/>
    <w:uiPriority w:val="99"/>
    <w:semiHidden/>
    <w:rsid w:val="005F017C"/>
    <w:rPr>
      <w:rFonts w:ascii="Tahoma" w:hAnsi="Tahoma" w:cs="Tahoma"/>
      <w:sz w:val="16"/>
      <w:szCs w:val="16"/>
    </w:rPr>
  </w:style>
  <w:style w:type="paragraph" w:styleId="Header">
    <w:name w:val="header"/>
    <w:basedOn w:val="Normal"/>
    <w:link w:val="HeaderChar"/>
    <w:uiPriority w:val="99"/>
    <w:unhideWhenUsed/>
    <w:rsid w:val="005F017C"/>
    <w:pPr>
      <w:tabs>
        <w:tab w:val="center" w:pos="4680"/>
        <w:tab w:val="right" w:pos="9360"/>
      </w:tabs>
    </w:pPr>
  </w:style>
  <w:style w:type="character" w:customStyle="1" w:styleId="HeaderChar">
    <w:name w:val="Header Char"/>
    <w:basedOn w:val="DefaultParagraphFont"/>
    <w:link w:val="Header"/>
    <w:uiPriority w:val="99"/>
    <w:rsid w:val="005F017C"/>
  </w:style>
  <w:style w:type="paragraph" w:styleId="Footer">
    <w:name w:val="footer"/>
    <w:basedOn w:val="Normal"/>
    <w:link w:val="FooterChar"/>
    <w:uiPriority w:val="99"/>
    <w:unhideWhenUsed/>
    <w:rsid w:val="005F017C"/>
    <w:pPr>
      <w:tabs>
        <w:tab w:val="center" w:pos="4680"/>
        <w:tab w:val="right" w:pos="9360"/>
      </w:tabs>
    </w:pPr>
  </w:style>
  <w:style w:type="character" w:customStyle="1" w:styleId="FooterChar">
    <w:name w:val="Footer Char"/>
    <w:basedOn w:val="DefaultParagraphFont"/>
    <w:link w:val="Footer"/>
    <w:uiPriority w:val="99"/>
    <w:rsid w:val="005F017C"/>
  </w:style>
  <w:style w:type="character" w:styleId="Hyperlink">
    <w:name w:val="Hyperlink"/>
    <w:basedOn w:val="DefaultParagraphFont"/>
    <w:uiPriority w:val="99"/>
    <w:unhideWhenUsed/>
    <w:rsid w:val="005F017C"/>
    <w:rPr>
      <w:color w:val="0000FF"/>
      <w:u w:val="single"/>
    </w:rPr>
  </w:style>
  <w:style w:type="paragraph" w:customStyle="1" w:styleId="DefaultText">
    <w:name w:val="Default Text"/>
    <w:basedOn w:val="Normal"/>
    <w:uiPriority w:val="99"/>
    <w:rsid w:val="0082344F"/>
    <w:pPr>
      <w:autoSpaceDE w:val="0"/>
      <w:autoSpaceDN w:val="0"/>
      <w:adjustRightInd w:val="0"/>
      <w:jc w:val="both"/>
    </w:pPr>
    <w:rPr>
      <w:rFonts w:ascii="Trebuchet MS" w:hAnsi="Trebuchet MS" w:cs="Trebuchet MS"/>
    </w:rPr>
  </w:style>
  <w:style w:type="character" w:customStyle="1" w:styleId="UnresolvedMention1">
    <w:name w:val="Unresolved Mention1"/>
    <w:basedOn w:val="DefaultParagraphFont"/>
    <w:uiPriority w:val="99"/>
    <w:semiHidden/>
    <w:unhideWhenUsed/>
    <w:rsid w:val="001458E6"/>
    <w:rPr>
      <w:color w:val="605E5C"/>
      <w:shd w:val="clear" w:color="auto" w:fill="E1DFDD"/>
    </w:rPr>
  </w:style>
  <w:style w:type="paragraph" w:styleId="NoSpacing">
    <w:name w:val="No Spacing"/>
    <w:uiPriority w:val="1"/>
    <w:qFormat/>
    <w:rsid w:val="00054AFF"/>
    <w:rPr>
      <w:rFonts w:asciiTheme="minorHAnsi" w:eastAsiaTheme="minorEastAsia" w:hAnsiTheme="minorHAnsi" w:cstheme="minorBidi"/>
      <w:sz w:val="21"/>
      <w:szCs w:val="21"/>
    </w:rPr>
  </w:style>
  <w:style w:type="paragraph" w:styleId="ListParagraph">
    <w:name w:val="List Paragraph"/>
    <w:basedOn w:val="Normal"/>
    <w:uiPriority w:val="34"/>
    <w:qFormat/>
    <w:rsid w:val="00B341DC"/>
    <w:pPr>
      <w:ind w:left="720"/>
      <w:contextualSpacing/>
    </w:pPr>
  </w:style>
  <w:style w:type="paragraph" w:customStyle="1" w:styleId="Default">
    <w:name w:val="Default"/>
    <w:rsid w:val="000E4116"/>
    <w:pPr>
      <w:autoSpaceDE w:val="0"/>
      <w:autoSpaceDN w:val="0"/>
      <w:adjustRightInd w:val="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3765">
      <w:bodyDiv w:val="1"/>
      <w:marLeft w:val="0"/>
      <w:marRight w:val="0"/>
      <w:marTop w:val="0"/>
      <w:marBottom w:val="0"/>
      <w:divBdr>
        <w:top w:val="none" w:sz="0" w:space="0" w:color="auto"/>
        <w:left w:val="none" w:sz="0" w:space="0" w:color="auto"/>
        <w:bottom w:val="none" w:sz="0" w:space="0" w:color="auto"/>
        <w:right w:val="none" w:sz="0" w:space="0" w:color="auto"/>
      </w:divBdr>
    </w:div>
    <w:div w:id="38837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let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ta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etac.org" TargetMode="External"/><Relationship Id="rId2" Type="http://schemas.openxmlformats.org/officeDocument/2006/relationships/hyperlink" Target="mailto:letac@mtu10.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4D70-D7BD-4DFC-BA7A-EC290ABF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Crouch</dc:creator>
  <cp:lastModifiedBy>Tim Collins</cp:lastModifiedBy>
  <cp:revision>2</cp:revision>
  <cp:lastPrinted>2024-02-28T22:48:00Z</cp:lastPrinted>
  <dcterms:created xsi:type="dcterms:W3CDTF">2025-03-27T14:43:00Z</dcterms:created>
  <dcterms:modified xsi:type="dcterms:W3CDTF">2025-03-27T14:43:00Z</dcterms:modified>
</cp:coreProperties>
</file>